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spacing w:line="520" w:lineRule="exact"/>
        <w:ind w:firstLine="640" w:firstLineChars="200"/>
        <w:jc w:val="center"/>
        <w:rPr>
          <w:rFonts w:hint="eastAsia" w:ascii="仿宋_GB2312" w:eastAsia="仿宋_GB2312"/>
          <w:sz w:val="32"/>
          <w:szCs w:val="32"/>
        </w:rPr>
      </w:pPr>
      <w:r>
        <w:rPr>
          <w:rFonts w:hint="eastAsia" w:ascii="仿宋_GB2312" w:eastAsia="仿宋_GB2312"/>
          <w:sz w:val="32"/>
          <w:szCs w:val="32"/>
        </w:rPr>
        <w:t>惠公易土市直[20</w:t>
      </w:r>
      <w:r>
        <w:rPr>
          <w:rFonts w:hint="eastAsia" w:ascii="仿宋_GB2312" w:eastAsia="仿宋_GB2312"/>
          <w:sz w:val="32"/>
          <w:szCs w:val="32"/>
          <w:lang w:val="en-US" w:eastAsia="zh-CN"/>
        </w:rPr>
        <w:t>21</w:t>
      </w:r>
      <w:r>
        <w:rPr>
          <w:rFonts w:hint="eastAsia" w:ascii="仿宋_GB2312" w:eastAsia="仿宋_GB2312"/>
          <w:sz w:val="32"/>
          <w:szCs w:val="32"/>
        </w:rPr>
        <w:t>]</w:t>
      </w:r>
      <w:r>
        <w:rPr>
          <w:rFonts w:hint="eastAsia" w:ascii="仿宋_GB2312" w:eastAsia="仿宋_GB2312"/>
          <w:sz w:val="32"/>
          <w:szCs w:val="32"/>
          <w:lang w:val="en-US" w:eastAsia="zh-CN"/>
        </w:rPr>
        <w:t>041</w:t>
      </w:r>
      <w:r>
        <w:rPr>
          <w:rFonts w:hint="eastAsia" w:ascii="仿宋_GB2312" w:eastAsia="仿宋_GB2312"/>
          <w:sz w:val="32"/>
          <w:szCs w:val="32"/>
        </w:rPr>
        <w:t>号</w:t>
      </w:r>
    </w:p>
    <w:p>
      <w:pPr>
        <w:spacing w:line="520" w:lineRule="exact"/>
        <w:ind w:firstLine="640" w:firstLineChars="200"/>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人民政府批准，惠州市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自然资源局决定以网上挂牌方式出让下列国有建设用地使用权，本次国有建设用地使用权网上挂牌出让交易具体事务委托惠州市公共资源交易中心办理。现将有关事项公告如下：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二、网上挂牌竞买时间为20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时至20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上述地块挂牌出让</w:t>
      </w:r>
      <w:r>
        <w:rPr>
          <w:rFonts w:hint="eastAsia" w:ascii="仿宋_GB2312" w:hAnsi="仿宋_GB2312" w:eastAsia="仿宋_GB2312" w:cs="仿宋_GB2312"/>
          <w:sz w:val="32"/>
          <w:szCs w:val="32"/>
        </w:rPr>
        <w:t>起始价为人民币</w:t>
      </w:r>
      <w:r>
        <w:rPr>
          <w:rFonts w:hint="eastAsia" w:ascii="仿宋_GB2312" w:hAnsi="仿宋_GB2312" w:eastAsia="仿宋_GB2312" w:cs="仿宋_GB2312"/>
          <w:color w:val="auto"/>
          <w:kern w:val="0"/>
          <w:sz w:val="32"/>
          <w:szCs w:val="32"/>
          <w:lang w:val="en-US" w:eastAsia="zh-CN"/>
        </w:rPr>
        <w:t>190</w:t>
      </w:r>
      <w:r>
        <w:rPr>
          <w:rFonts w:hint="eastAsia" w:ascii="仿宋_GB2312" w:hAnsi="仿宋_GB2312" w:eastAsia="仿宋_GB2312" w:cs="仿宋_GB2312"/>
          <w:sz w:val="32"/>
          <w:szCs w:val="32"/>
        </w:rPr>
        <w:t>万元,每次报价加价幅度为人民币</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万元的整数倍。</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四、中华人民共和国境内外的法人和其他组织（除法律法规另有规定外）均可申请参加竞买。申请人可以单独申请，也可以联合申请：</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hAnsi="仿宋_GB2312" w:cs="仿宋_GB2312"/>
          <w:szCs w:val="32"/>
          <w:lang w:eastAsia="zh-CN"/>
        </w:rPr>
        <w:t>，</w:t>
      </w:r>
      <w:r>
        <w:rPr>
          <w:rFonts w:hint="eastAsia" w:ascii="仿宋_GB2312" w:hAnsi="宋体" w:eastAsia="仿宋_GB2312" w:cs="宋体"/>
          <w:color w:val="auto"/>
          <w:kern w:val="0"/>
          <w:sz w:val="32"/>
          <w:szCs w:val="32"/>
        </w:rPr>
        <w:t>即新公司的股东必须100%是竞买申请企业作为法人的股东</w:t>
      </w:r>
      <w:r>
        <w:rPr>
          <w:rFonts w:hint="default" w:ascii="Times New Roman" w:hAnsi="Times New Roman"/>
          <w:lang w:val="en-US" w:eastAsia="zh-CN"/>
        </w:rPr>
        <w:t>。</w:t>
      </w:r>
      <w:r>
        <w:rPr>
          <w:rFonts w:hint="eastAsia" w:hAnsi="仿宋_GB2312" w:cs="仿宋_GB231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Ansi="仿宋_GB2312" w:cs="仿宋_GB2312"/>
          <w:szCs w:val="32"/>
        </w:rPr>
      </w:pPr>
      <w:r>
        <w:rPr>
          <w:rFonts w:hint="eastAsia" w:hAnsi="仿宋_GB2312" w:cs="仿宋_GB2312"/>
          <w:szCs w:val="32"/>
          <w:lang w:val="en-US" w:eastAsia="zh-CN"/>
        </w:rPr>
        <w:t>五</w:t>
      </w:r>
      <w:r>
        <w:rPr>
          <w:rFonts w:hint="eastAsia" w:hAnsi="仿宋_GB2312" w:cs="仿宋_GB2312"/>
          <w:szCs w:val="32"/>
        </w:rPr>
        <w:t>、申请人应具备的其他条件：</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（一）缴交竞买保证金</w:t>
      </w:r>
      <w:r>
        <w:rPr>
          <w:rFonts w:hint="eastAsia" w:hAnsi="仿宋"/>
          <w:kern w:val="2"/>
          <w:szCs w:val="32"/>
          <w:lang w:val="en-US" w:eastAsia="zh-CN"/>
        </w:rPr>
        <w:t>57</w:t>
      </w:r>
      <w:r>
        <w:rPr>
          <w:rFonts w:hint="eastAsia" w:hAnsi="仿宋_GB2312" w:cs="仿宋_GB2312"/>
          <w:szCs w:val="32"/>
        </w:rPr>
        <w:t>万元人民币。</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hAnsi="仿宋_GB2312" w:eastAsia="仿宋_GB2312" w:cs="仿宋_GB2312"/>
          <w:szCs w:val="32"/>
          <w:lang w:eastAsia="zh-CN"/>
        </w:rPr>
      </w:pPr>
      <w:r>
        <w:rPr>
          <w:rFonts w:hint="eastAsia" w:hAnsi="仿宋_GB2312" w:cs="仿宋_GB2312"/>
          <w:szCs w:val="32"/>
        </w:rPr>
        <w:t>（</w:t>
      </w:r>
      <w:r>
        <w:rPr>
          <w:rFonts w:hint="eastAsia" w:hAnsi="仿宋_GB2312" w:cs="仿宋_GB2312"/>
          <w:szCs w:val="32"/>
          <w:lang w:val="en-US" w:eastAsia="zh-CN"/>
        </w:rPr>
        <w:t>二</w:t>
      </w:r>
      <w:r>
        <w:rPr>
          <w:rFonts w:hint="eastAsia" w:hAnsi="仿宋_GB2312" w:cs="仿宋_GB2312"/>
          <w:szCs w:val="32"/>
        </w:rPr>
        <w:t>）</w:t>
      </w:r>
      <w:r>
        <w:rPr>
          <w:rFonts w:hint="eastAsia" w:ascii="仿宋_GB2312" w:hAnsi="仿宋_GB2312" w:eastAsia="仿宋_GB2312" w:cs="仿宋_GB2312"/>
          <w:sz w:val="32"/>
          <w:szCs w:val="32"/>
        </w:rPr>
        <w:t>竞买人须</w:t>
      </w:r>
      <w:r>
        <w:rPr>
          <w:rFonts w:hint="eastAsia" w:hAnsi="仿宋_GB2312" w:cs="仿宋_GB2312"/>
          <w:sz w:val="32"/>
          <w:szCs w:val="32"/>
          <w:lang w:val="en-US" w:eastAsia="zh-CN"/>
        </w:rPr>
        <w:t>提交</w:t>
      </w:r>
      <w:r>
        <w:rPr>
          <w:rFonts w:hint="eastAsia" w:ascii="仿宋_GB2312" w:hAnsi="仿宋_GB2312" w:eastAsia="仿宋_GB2312" w:cs="仿宋_GB2312"/>
          <w:sz w:val="32"/>
          <w:szCs w:val="32"/>
        </w:rPr>
        <w:t>惠城区发改局出具的与该宗地块产业类型一致的优先发展产业项目文件</w:t>
      </w:r>
      <w:r>
        <w:rPr>
          <w:rFonts w:hint="eastAsia" w:hAnsi="仿宋_GB2312" w:cs="仿宋_GB2312"/>
          <w:sz w:val="32"/>
          <w:szCs w:val="32"/>
          <w:lang w:eastAsia="zh-CN"/>
        </w:rPr>
        <w:t>。</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hAnsi="仿宋_GB2312" w:cs="仿宋_GB2312"/>
          <w:szCs w:val="32"/>
        </w:rPr>
      </w:pPr>
      <w:r>
        <w:rPr>
          <w:rFonts w:hint="eastAsia" w:hAnsi="仿宋_GB2312" w:cs="仿宋_GB2312"/>
          <w:szCs w:val="32"/>
        </w:rPr>
        <w:t>（</w:t>
      </w:r>
      <w:r>
        <w:rPr>
          <w:rFonts w:hint="eastAsia" w:hAnsi="仿宋_GB2312" w:cs="仿宋_GB2312"/>
          <w:szCs w:val="32"/>
          <w:lang w:val="en-US" w:eastAsia="zh-CN"/>
        </w:rPr>
        <w:t>三</w:t>
      </w:r>
      <w:r>
        <w:rPr>
          <w:rFonts w:hint="eastAsia" w:hAnsi="仿宋_GB2312" w:cs="仿宋_GB2312"/>
          <w:szCs w:val="32"/>
        </w:rPr>
        <w:t>）存在下列违法违规违约行为之一的企业及其控股股东，不得参与竞买上述地块：</w:t>
      </w:r>
    </w:p>
    <w:p>
      <w:pPr>
        <w:pStyle w:val="3"/>
        <w:keepNext w:val="0"/>
        <w:keepLines w:val="0"/>
        <w:pageBreakBefore w:val="0"/>
        <w:widowControl w:val="0"/>
        <w:kinsoku/>
        <w:wordWrap/>
        <w:overflowPunct/>
        <w:topLinePunct w:val="0"/>
        <w:autoSpaceDE/>
        <w:autoSpaceDN/>
        <w:bidi w:val="0"/>
        <w:spacing w:before="0" w:line="560" w:lineRule="exact"/>
        <w:ind w:left="0" w:leftChars="0" w:firstLine="640" w:firstLineChars="200"/>
        <w:jc w:val="both"/>
        <w:textAlignment w:val="auto"/>
        <w:rPr>
          <w:rFonts w:hint="eastAsia" w:hAnsi="仿宋_GB2312" w:cs="仿宋_GB2312"/>
          <w:szCs w:val="32"/>
          <w:lang w:val="en-US" w:eastAsia="zh-CN"/>
        </w:rPr>
      </w:pPr>
      <w:r>
        <w:rPr>
          <w:rFonts w:hint="eastAsia" w:hAnsi="仿宋_GB2312" w:cs="仿宋_GB2312"/>
          <w:szCs w:val="32"/>
          <w:lang w:val="en-US" w:eastAsia="zh-CN"/>
        </w:rPr>
        <w:t>1、存在伪造公文骗取用地和非法倒卖土地等犯罪行为的；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lang w:val="en-US" w:eastAsia="zh-CN"/>
        </w:rPr>
      </w:pPr>
      <w:r>
        <w:rPr>
          <w:rFonts w:hint="eastAsia" w:hAnsi="仿宋_GB2312" w:cs="仿宋_GB2312"/>
          <w:szCs w:val="32"/>
          <w:lang w:val="en-US" w:eastAsia="zh-CN"/>
        </w:rPr>
        <w:t>2、存在非法转让土地使用权等违法行为的；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lang w:val="en-US" w:eastAsia="zh-CN"/>
        </w:rPr>
      </w:pPr>
      <w:r>
        <w:rPr>
          <w:rFonts w:hint="eastAsia" w:hAnsi="仿宋_GB2312" w:cs="仿宋_GB2312"/>
          <w:szCs w:val="32"/>
          <w:lang w:val="en-US" w:eastAsia="zh-CN"/>
        </w:rPr>
        <w:t>3、因企业原因造成土地闲置一年以上且至报名日止未处罚完结的；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lang w:val="en-US" w:eastAsia="zh-CN"/>
        </w:rPr>
      </w:pPr>
      <w:r>
        <w:rPr>
          <w:rFonts w:hint="eastAsia" w:hAnsi="仿宋_GB2312" w:cs="仿宋_GB2312"/>
          <w:szCs w:val="32"/>
          <w:lang w:val="en-US" w:eastAsia="zh-CN"/>
        </w:rPr>
        <w:t>4、开发建设企业有违背出让合同约定条件开发利用土地情形且至报名日止未处罚完结的；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lang w:val="en-US" w:eastAsia="zh-CN"/>
        </w:rPr>
      </w:pPr>
      <w:r>
        <w:rPr>
          <w:rFonts w:hint="eastAsia" w:hAnsi="仿宋_GB2312" w:cs="仿宋_GB2312"/>
          <w:szCs w:val="32"/>
          <w:lang w:val="en-US" w:eastAsia="zh-CN"/>
        </w:rPr>
        <w:t> 5、至报名日止仍拖欠政府地价款的。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、本次国有建设用地使用权网上挂牌出让为无底价挂牌出让，按照价高者得的原则确定竞得人。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、申请人应当在网上挂牌出让结束前登陆惠州市公共资源交易中心土地与矿业网上挂牌交易系统并在系统上向惠州市公共资源交易中心提交竞买申请并支付保证金。网上挂牌保证金到账截止时间为20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时止。网上挂牌报价时间截止时，经系统询问，有竞买人表示愿意继续竞价的，系统自动进入网上限时竞价程序，通过竞价确定竞得人。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、网上挂牌系统确定成交后，竞得人缴纳的竞买保证金按</w:t>
      </w:r>
      <w:r>
        <w:rPr>
          <w:rFonts w:hint="eastAsia" w:ascii="仿宋_GB2312" w:hAnsi="仿宋_GB2312" w:eastAsia="仿宋_GB2312" w:cs="仿宋_GB2312"/>
          <w:sz w:val="32"/>
          <w:szCs w:val="32"/>
          <w:lang w:val="en-US" w:eastAsia="zh-CN"/>
        </w:rPr>
        <w:t>成交价的20%转作</w:t>
      </w:r>
      <w:r>
        <w:rPr>
          <w:rFonts w:hint="eastAsia" w:ascii="仿宋_GB2312" w:hAnsi="仿宋_GB2312" w:eastAsia="仿宋_GB2312" w:cs="仿宋_GB2312"/>
          <w:sz w:val="32"/>
          <w:szCs w:val="32"/>
        </w:rPr>
        <w:t>定金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32"/>
          <w:lang w:eastAsia="zh-CN"/>
        </w:rPr>
        <w:t>竞买保证金</w:t>
      </w:r>
      <w:r>
        <w:rPr>
          <w:rFonts w:hint="eastAsia" w:ascii="仿宋_GB2312" w:hAnsi="仿宋_GB2312" w:eastAsia="仿宋_GB2312" w:cs="仿宋_GB2312"/>
          <w:sz w:val="32"/>
          <w:szCs w:val="32"/>
          <w:lang w:val="en-US" w:eastAsia="zh-CN"/>
        </w:rPr>
        <w:t>不足以缴纳定金，</w:t>
      </w:r>
      <w:r>
        <w:rPr>
          <w:rFonts w:hint="eastAsia" w:ascii="仿宋_GB2312" w:hAnsi="仿宋_GB2312" w:eastAsia="仿宋_GB2312" w:cs="仿宋_GB2312"/>
          <w:sz w:val="32"/>
          <w:szCs w:val="32"/>
        </w:rPr>
        <w:t>不足部分在交易系统确定成交之日起5个工作日内补齐</w:t>
      </w:r>
      <w:r>
        <w:rPr>
          <w:rFonts w:hint="eastAsia" w:ascii="仿宋_GB2312" w:hAnsi="仿宋_GB2312" w:eastAsia="仿宋_GB2312" w:cs="仿宋_GB2312"/>
          <w:sz w:val="32"/>
          <w:szCs w:val="32"/>
          <w:lang w:eastAsia="zh-CN"/>
        </w:rPr>
        <w:t>；如竞买保证金转作定金</w:t>
      </w:r>
      <w:r>
        <w:rPr>
          <w:rFonts w:hint="eastAsia" w:ascii="仿宋_GB2312" w:hAnsi="仿宋_GB2312" w:eastAsia="仿宋_GB2312" w:cs="仿宋_GB2312"/>
          <w:sz w:val="32"/>
          <w:szCs w:val="32"/>
          <w:lang w:val="en-US" w:eastAsia="zh-CN"/>
        </w:rPr>
        <w:t>后有剩余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余额抵作</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成交价</w:t>
      </w:r>
      <w:r>
        <w:rPr>
          <w:rFonts w:hint="eastAsia" w:ascii="仿宋_GB2312" w:hAnsi="仿宋_GB2312" w:eastAsia="仿宋_GB2312" w:cs="仿宋_GB2312"/>
          <w:sz w:val="32"/>
          <w:szCs w:val="32"/>
          <w:lang w:val="en-US" w:eastAsia="zh-CN"/>
        </w:rPr>
        <w:t>的预付</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竞得人签订《出让合同》后，定金可抵作土地成交价款，余额转作成交价款。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、其它需要公告的事项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宋体" w:eastAsia="仿宋_GB2312" w:cs="宋体"/>
          <w:color w:val="auto"/>
          <w:kern w:val="0"/>
          <w:sz w:val="32"/>
          <w:szCs w:val="32"/>
          <w:lang w:val="en-US" w:eastAsia="zh-CN"/>
        </w:rPr>
        <w:t>1881万元</w:t>
      </w:r>
      <w:r>
        <w:rPr>
          <w:rFonts w:hint="eastAsia" w:ascii="仿宋_GB2312" w:hAnsi="宋体" w:eastAsia="仿宋_GB2312" w:cs="宋体"/>
          <w:color w:val="auto"/>
          <w:kern w:val="0"/>
          <w:sz w:val="32"/>
          <w:szCs w:val="32"/>
        </w:rPr>
        <w:t>（含地价）</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（二）竞得人在用地红线内开发建设必须符合城市规划要求，必须按</w:t>
      </w:r>
      <w:r>
        <w:rPr>
          <w:rFonts w:hint="eastAsia" w:ascii="仿宋_GB2312" w:hAnsi="仿宋_GB2312" w:eastAsia="仿宋_GB2312" w:cs="仿宋_GB2312"/>
          <w:sz w:val="32"/>
          <w:szCs w:val="32"/>
          <w:lang w:eastAsia="zh-CN"/>
        </w:rPr>
        <w:t>《关于惠州市新民洛塘片区JD114-14地块内1608平方米用地规划要点的说明》（编号：</w:t>
      </w:r>
      <w:r>
        <w:rPr>
          <w:rFonts w:hint="default" w:ascii="仿宋_GB2312" w:hAnsi="仿宋_GB2312" w:eastAsia="仿宋_GB2312" w:cs="仿宋_GB2312"/>
          <w:sz w:val="32"/>
          <w:szCs w:val="32"/>
          <w:lang w:val="en-US" w:eastAsia="zh-CN"/>
        </w:rPr>
        <w:t>惠市自然资函（惠城）〔2021〕123</w:t>
      </w:r>
      <w:r>
        <w:rPr>
          <w:rFonts w:hint="eastAsia" w:ascii="仿宋_GB2312" w:hAnsi="仿宋_GB2312" w:eastAsia="仿宋_GB2312" w:cs="仿宋_GB2312"/>
          <w:sz w:val="32"/>
          <w:szCs w:val="32"/>
          <w:lang w:val="en-US" w:eastAsia="zh-CN"/>
        </w:rPr>
        <w:t>号</w:t>
      </w:r>
      <w:r>
        <w:rPr>
          <w:rFonts w:hint="eastAsia" w:ascii="仿宋_GB2312" w:hAnsi="仿宋_GB2312" w:eastAsia="仿宋_GB2312" w:cs="仿宋_GB2312"/>
          <w:sz w:val="32"/>
          <w:szCs w:val="32"/>
          <w:lang w:eastAsia="zh-CN"/>
        </w:rPr>
        <w:t>）</w:t>
      </w:r>
      <w:r>
        <w:rPr>
          <w:rFonts w:hint="eastAsia" w:ascii="仿宋_GB2312" w:hAnsi="仿宋_GB2312" w:cs="仿宋_GB2312"/>
          <w:kern w:val="2"/>
          <w:sz w:val="32"/>
          <w:szCs w:val="32"/>
          <w:lang w:val="en-US" w:eastAsia="zh-CN" w:bidi="ar-SA"/>
        </w:rPr>
        <w:t>的</w:t>
      </w:r>
      <w:r>
        <w:rPr>
          <w:rFonts w:hint="eastAsia" w:ascii="仿宋_GB2312" w:hAnsi="仿宋_GB2312" w:eastAsia="仿宋_GB2312" w:cs="仿宋_GB2312"/>
          <w:kern w:val="2"/>
          <w:sz w:val="32"/>
          <w:szCs w:val="32"/>
          <w:lang w:val="en-US" w:eastAsia="zh-CN" w:bidi="ar-SA"/>
        </w:rPr>
        <w:t>规划控制指标要求及有关规定进行规划设计。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（四）招商条件</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lang w:eastAsia="zh-CN"/>
        </w:rPr>
        <w:t>投资强度不低于</w:t>
      </w:r>
      <w:r>
        <w:rPr>
          <w:rFonts w:hint="eastAsia" w:ascii="仿宋_GB2312" w:hAnsi="宋体" w:eastAsia="仿宋_GB2312" w:cs="宋体"/>
          <w:kern w:val="0"/>
          <w:sz w:val="32"/>
          <w:szCs w:val="32"/>
          <w:lang w:val="en-US" w:eastAsia="zh-CN"/>
        </w:rPr>
        <w:t>11693元</w:t>
      </w:r>
      <w:r>
        <w:rPr>
          <w:rFonts w:hint="eastAsia" w:ascii="仿宋_GB2312" w:hAnsi="宋体" w:eastAsia="仿宋_GB2312" w:cs="宋体"/>
          <w:kern w:val="0"/>
          <w:sz w:val="32"/>
          <w:szCs w:val="32"/>
          <w:lang w:eastAsia="zh-CN"/>
        </w:rPr>
        <w:t>/平方米，土地产出率（营业收入）不低于</w:t>
      </w:r>
      <w:r>
        <w:rPr>
          <w:rFonts w:hint="eastAsia" w:ascii="仿宋_GB2312" w:hAnsi="宋体" w:eastAsia="仿宋_GB2312" w:cs="宋体"/>
          <w:kern w:val="0"/>
          <w:sz w:val="32"/>
          <w:szCs w:val="32"/>
          <w:lang w:val="en-US" w:eastAsia="zh-CN"/>
        </w:rPr>
        <w:t>9997</w:t>
      </w:r>
      <w:r>
        <w:rPr>
          <w:rFonts w:hint="eastAsia" w:ascii="仿宋_GB2312" w:hAnsi="宋体" w:eastAsia="仿宋_GB2312" w:cs="宋体"/>
          <w:kern w:val="0"/>
          <w:sz w:val="32"/>
          <w:szCs w:val="32"/>
          <w:lang w:eastAsia="zh-CN"/>
        </w:rPr>
        <w:t>元/平方米/年，税收产出不低于</w:t>
      </w:r>
      <w:r>
        <w:rPr>
          <w:rFonts w:hint="eastAsia" w:ascii="仿宋_GB2312" w:hAnsi="宋体" w:eastAsia="仿宋_GB2312" w:cs="宋体"/>
          <w:kern w:val="0"/>
          <w:sz w:val="32"/>
          <w:szCs w:val="32"/>
          <w:lang w:val="en-US" w:eastAsia="zh-CN"/>
        </w:rPr>
        <w:t>600</w:t>
      </w:r>
      <w:r>
        <w:rPr>
          <w:rFonts w:hint="eastAsia" w:ascii="仿宋_GB2312" w:hAnsi="宋体" w:eastAsia="仿宋_GB2312" w:cs="宋体"/>
          <w:kern w:val="0"/>
          <w:sz w:val="32"/>
          <w:szCs w:val="32"/>
          <w:lang w:eastAsia="zh-CN"/>
        </w:rPr>
        <w:t>元/平方米/年。其中，土地产出率及税收产出，在项目投产后</w:t>
      </w:r>
      <w:r>
        <w:rPr>
          <w:rFonts w:hint="eastAsia" w:ascii="仿宋_GB2312" w:hAnsi="宋体" w:eastAsia="仿宋_GB2312" w:cs="宋体"/>
          <w:kern w:val="0"/>
          <w:sz w:val="32"/>
          <w:szCs w:val="32"/>
          <w:lang w:val="en-US" w:eastAsia="zh-CN"/>
        </w:rPr>
        <w:t>3年内逐年</w:t>
      </w:r>
      <w:r>
        <w:rPr>
          <w:rFonts w:hint="eastAsia" w:ascii="仿宋_GB2312" w:hAnsi="宋体" w:eastAsia="仿宋_GB2312" w:cs="宋体"/>
          <w:kern w:val="0"/>
          <w:sz w:val="32"/>
          <w:szCs w:val="32"/>
          <w:lang w:eastAsia="zh-CN"/>
        </w:rPr>
        <w:t>考核，</w:t>
      </w:r>
      <w:r>
        <w:rPr>
          <w:rFonts w:hint="eastAsia" w:ascii="仿宋_GB2312" w:hAnsi="宋体" w:eastAsia="仿宋_GB2312" w:cs="宋体"/>
          <w:kern w:val="0"/>
          <w:sz w:val="32"/>
          <w:szCs w:val="32"/>
          <w:lang w:val="en-US" w:eastAsia="zh-CN"/>
        </w:rPr>
        <w:t>3年内的</w:t>
      </w:r>
      <w:r>
        <w:rPr>
          <w:rFonts w:hint="eastAsia" w:ascii="仿宋_GB2312" w:hAnsi="宋体" w:eastAsia="仿宋_GB2312" w:cs="宋体"/>
          <w:kern w:val="0"/>
          <w:sz w:val="32"/>
          <w:szCs w:val="32"/>
          <w:lang w:eastAsia="zh-CN"/>
        </w:rPr>
        <w:t>平均值不得低于上述标准。</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kern w:val="0"/>
          <w:sz w:val="32"/>
          <w:szCs w:val="32"/>
          <w:lang w:eastAsia="zh-CN"/>
        </w:rPr>
      </w:pPr>
      <w:r>
        <w:rPr>
          <w:rFonts w:hint="eastAsia" w:ascii="仿宋_GB2312" w:hAnsi="仿宋_GB2312" w:eastAsia="仿宋_GB2312" w:cs="仿宋_GB2312"/>
          <w:sz w:val="32"/>
          <w:szCs w:val="32"/>
          <w:lang w:eastAsia="zh-CN"/>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w:t>
      </w:r>
      <w:r>
        <w:rPr>
          <w:rFonts w:hint="eastAsia" w:ascii="仿宋_GB2312" w:hAnsi="宋体" w:eastAsia="仿宋_GB2312" w:cs="宋体"/>
          <w:color w:val="auto"/>
          <w:kern w:val="0"/>
          <w:sz w:val="32"/>
          <w:szCs w:val="32"/>
        </w:rPr>
        <w:t>须</w:t>
      </w:r>
      <w:r>
        <w:rPr>
          <w:rFonts w:hint="eastAsia" w:ascii="仿宋_GB2312" w:hAnsi="宋体" w:eastAsia="仿宋_GB2312" w:cs="宋体"/>
          <w:color w:val="auto"/>
          <w:kern w:val="0"/>
          <w:sz w:val="32"/>
          <w:szCs w:val="32"/>
          <w:lang w:val="en-US" w:eastAsia="zh-CN"/>
        </w:rPr>
        <w:t>向自然资源部门申请，经</w:t>
      </w:r>
      <w:r>
        <w:rPr>
          <w:rFonts w:hint="eastAsia" w:ascii="仿宋_GB2312" w:hAnsi="宋体" w:eastAsia="仿宋_GB2312" w:cs="宋体"/>
          <w:color w:val="auto"/>
          <w:kern w:val="0"/>
          <w:sz w:val="32"/>
          <w:szCs w:val="32"/>
        </w:rPr>
        <w:t>惠城区人民政府</w:t>
      </w:r>
      <w:r>
        <w:rPr>
          <w:rFonts w:hint="eastAsia" w:ascii="仿宋_GB2312" w:hAnsi="宋体" w:eastAsia="仿宋_GB2312" w:cs="宋体"/>
          <w:color w:val="auto"/>
          <w:kern w:val="0"/>
          <w:sz w:val="32"/>
          <w:szCs w:val="32"/>
          <w:lang w:val="en-US" w:eastAsia="zh-CN"/>
        </w:rPr>
        <w:t>备案</w:t>
      </w:r>
      <w:r>
        <w:rPr>
          <w:rFonts w:hint="eastAsia" w:ascii="仿宋_GB2312" w:hAnsi="宋体" w:eastAsia="仿宋_GB2312" w:cs="宋体"/>
          <w:color w:val="auto"/>
          <w:kern w:val="0"/>
          <w:sz w:val="32"/>
          <w:szCs w:val="32"/>
        </w:rPr>
        <w:t>同意</w:t>
      </w:r>
      <w:r>
        <w:rPr>
          <w:rFonts w:hint="eastAsia" w:ascii="仿宋_GB2312" w:hAnsi="仿宋_GB2312" w:eastAsia="仿宋_GB2312" w:cs="仿宋_GB2312"/>
          <w:sz w:val="32"/>
          <w:szCs w:val="32"/>
          <w:lang w:eastAsia="zh-CN"/>
        </w:rPr>
        <w:t>，并符合惠城区产业发展方向及项目入区审核标准。本宗地交付乙方后,</w:t>
      </w:r>
      <w:r>
        <w:rPr>
          <w:rFonts w:hint="eastAsia" w:ascii="仿宋_GB2312" w:hAnsi="宋体" w:eastAsia="仿宋_GB2312" w:cs="宋体"/>
          <w:kern w:val="0"/>
          <w:sz w:val="32"/>
          <w:szCs w:val="32"/>
          <w:lang w:eastAsia="zh-CN"/>
        </w:rPr>
        <w:t>乙方须向</w:t>
      </w:r>
      <w:r>
        <w:rPr>
          <w:rFonts w:hint="eastAsia" w:ascii="仿宋_GB2312" w:hAnsi="宋体" w:eastAsia="仿宋_GB2312" w:cs="宋体"/>
          <w:kern w:val="0"/>
          <w:sz w:val="32"/>
          <w:szCs w:val="32"/>
          <w:lang w:val="en-US" w:eastAsia="zh-CN"/>
        </w:rPr>
        <w:t>惠州市</w:t>
      </w:r>
      <w:r>
        <w:rPr>
          <w:rFonts w:hint="eastAsia" w:ascii="仿宋_GB2312" w:hAnsi="宋体" w:eastAsia="仿宋_GB2312" w:cs="宋体"/>
          <w:kern w:val="0"/>
          <w:sz w:val="32"/>
          <w:szCs w:val="32"/>
          <w:lang w:eastAsia="zh-CN"/>
        </w:rPr>
        <w:t>惠城区</w:t>
      </w:r>
      <w:r>
        <w:rPr>
          <w:rFonts w:hint="eastAsia" w:ascii="仿宋_GB2312" w:hAnsi="宋体" w:eastAsia="仿宋_GB2312" w:cs="宋体"/>
          <w:kern w:val="0"/>
          <w:sz w:val="32"/>
          <w:szCs w:val="32"/>
          <w:lang w:val="en-US" w:eastAsia="zh-CN"/>
        </w:rPr>
        <w:t>水口街道办事处</w:t>
      </w:r>
      <w:r>
        <w:rPr>
          <w:rFonts w:hint="eastAsia" w:ascii="仿宋_GB2312" w:hAnsi="宋体" w:eastAsia="仿宋_GB2312" w:cs="宋体"/>
          <w:kern w:val="0"/>
          <w:sz w:val="32"/>
          <w:szCs w:val="32"/>
          <w:lang w:eastAsia="zh-CN"/>
        </w:rPr>
        <w:t>提交项目投资计划书和时间安排表，并按月向</w:t>
      </w:r>
      <w:r>
        <w:rPr>
          <w:rFonts w:hint="eastAsia" w:ascii="仿宋_GB2312" w:hAnsi="宋体" w:eastAsia="仿宋_GB2312" w:cs="宋体"/>
          <w:kern w:val="0"/>
          <w:sz w:val="32"/>
          <w:szCs w:val="32"/>
          <w:lang w:val="en-US" w:eastAsia="zh-CN"/>
        </w:rPr>
        <w:t>惠州市</w:t>
      </w:r>
      <w:r>
        <w:rPr>
          <w:rFonts w:hint="eastAsia" w:ascii="仿宋_GB2312" w:hAnsi="宋体" w:eastAsia="仿宋_GB2312" w:cs="宋体"/>
          <w:kern w:val="0"/>
          <w:sz w:val="32"/>
          <w:szCs w:val="32"/>
          <w:lang w:eastAsia="zh-CN"/>
        </w:rPr>
        <w:t>惠城区</w:t>
      </w:r>
      <w:r>
        <w:rPr>
          <w:rFonts w:hint="eastAsia" w:ascii="仿宋_GB2312" w:hAnsi="宋体" w:eastAsia="仿宋_GB2312" w:cs="宋体"/>
          <w:kern w:val="0"/>
          <w:sz w:val="32"/>
          <w:szCs w:val="32"/>
          <w:lang w:val="en-US" w:eastAsia="zh-CN"/>
        </w:rPr>
        <w:t>水口街道办事处</w:t>
      </w:r>
      <w:r>
        <w:rPr>
          <w:rFonts w:hint="eastAsia" w:ascii="仿宋_GB2312" w:hAnsi="宋体" w:eastAsia="仿宋_GB2312" w:cs="宋体"/>
          <w:kern w:val="0"/>
          <w:sz w:val="32"/>
          <w:szCs w:val="32"/>
          <w:lang w:eastAsia="zh-CN"/>
        </w:rPr>
        <w:t>书面报告项目进展情况，直至项目投产。</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）竞得人在签订《成交确认书》前</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须与</w:t>
      </w:r>
      <w:r>
        <w:rPr>
          <w:rFonts w:hint="eastAsia" w:ascii="仿宋_GB2312" w:hAnsi="宋体" w:eastAsia="仿宋_GB2312" w:cs="宋体"/>
          <w:kern w:val="0"/>
          <w:sz w:val="32"/>
          <w:szCs w:val="32"/>
          <w:lang w:val="en-US" w:eastAsia="zh-CN"/>
        </w:rPr>
        <w:t>惠州市</w:t>
      </w:r>
      <w:r>
        <w:rPr>
          <w:rFonts w:hint="eastAsia" w:ascii="仿宋_GB2312" w:hAnsi="宋体" w:eastAsia="仿宋_GB2312" w:cs="宋体"/>
          <w:kern w:val="0"/>
          <w:sz w:val="32"/>
          <w:szCs w:val="32"/>
          <w:lang w:eastAsia="zh-CN"/>
        </w:rPr>
        <w:t>惠城区</w:t>
      </w:r>
      <w:r>
        <w:rPr>
          <w:rFonts w:hint="eastAsia" w:ascii="仿宋_GB2312" w:hAnsi="宋体" w:eastAsia="仿宋_GB2312" w:cs="宋体"/>
          <w:kern w:val="0"/>
          <w:sz w:val="32"/>
          <w:szCs w:val="32"/>
          <w:lang w:val="en-US" w:eastAsia="zh-CN"/>
        </w:rPr>
        <w:t>人民政府水口街道办事处</w:t>
      </w:r>
      <w:r>
        <w:rPr>
          <w:rFonts w:hint="eastAsia" w:ascii="仿宋_GB2312" w:hAnsi="仿宋_GB2312" w:eastAsia="仿宋_GB2312" w:cs="仿宋_GB2312"/>
          <w:color w:val="auto"/>
          <w:sz w:val="32"/>
          <w:szCs w:val="32"/>
        </w:rPr>
        <w:t>签订《</w:t>
      </w:r>
      <w:r>
        <w:rPr>
          <w:rFonts w:hint="eastAsia" w:ascii="仿宋_GB2312" w:hAnsi="仿宋_GB2312" w:eastAsia="仿宋_GB2312" w:cs="仿宋_GB2312"/>
          <w:color w:val="auto"/>
          <w:sz w:val="32"/>
          <w:szCs w:val="32"/>
          <w:lang w:eastAsia="zh-CN"/>
        </w:rPr>
        <w:t>项目实施监管协议书</w:t>
      </w:r>
      <w:r>
        <w:rPr>
          <w:rFonts w:hint="eastAsia" w:ascii="仿宋_GB2312" w:hAnsi="仿宋_GB2312" w:eastAsia="仿宋_GB2312" w:cs="仿宋_GB2312"/>
          <w:color w:val="auto"/>
          <w:sz w:val="32"/>
          <w:szCs w:val="32"/>
        </w:rPr>
        <w:t>》，并由</w:t>
      </w:r>
      <w:r>
        <w:rPr>
          <w:rFonts w:hint="eastAsia" w:ascii="仿宋_GB2312" w:hAnsi="宋体" w:eastAsia="仿宋_GB2312" w:cs="宋体"/>
          <w:kern w:val="0"/>
          <w:sz w:val="32"/>
          <w:szCs w:val="32"/>
          <w:lang w:val="en-US" w:eastAsia="zh-CN"/>
        </w:rPr>
        <w:t>惠州市</w:t>
      </w:r>
      <w:r>
        <w:rPr>
          <w:rFonts w:hint="eastAsia" w:ascii="仿宋_GB2312" w:hAnsi="宋体" w:eastAsia="仿宋_GB2312" w:cs="宋体"/>
          <w:kern w:val="0"/>
          <w:sz w:val="32"/>
          <w:szCs w:val="32"/>
          <w:lang w:eastAsia="zh-CN"/>
        </w:rPr>
        <w:t>惠城区</w:t>
      </w:r>
      <w:r>
        <w:rPr>
          <w:rFonts w:hint="eastAsia" w:ascii="仿宋_GB2312" w:hAnsi="宋体" w:eastAsia="仿宋_GB2312" w:cs="宋体"/>
          <w:kern w:val="0"/>
          <w:sz w:val="32"/>
          <w:szCs w:val="32"/>
          <w:lang w:val="en-US" w:eastAsia="zh-CN"/>
        </w:rPr>
        <w:t>人民政府水口街道办事处</w:t>
      </w:r>
      <w:r>
        <w:rPr>
          <w:rFonts w:hint="eastAsia" w:ascii="仿宋_GB2312" w:hAnsi="仿宋_GB2312" w:eastAsia="仿宋_GB2312" w:cs="仿宋_GB2312"/>
          <w:color w:val="auto"/>
          <w:sz w:val="32"/>
          <w:szCs w:val="32"/>
        </w:rPr>
        <w:t>对项目用地实施批后监管</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）竞得人有下列行为之一的，视为违约，取消竞得人资格，</w:t>
      </w:r>
      <w:r>
        <w:rPr>
          <w:rFonts w:hint="eastAsia" w:ascii="仿宋_GB2312" w:hAnsi="仿宋_GB2312" w:eastAsia="仿宋_GB2312" w:cs="仿宋_GB2312"/>
          <w:color w:val="auto"/>
          <w:sz w:val="32"/>
          <w:szCs w:val="32"/>
          <w:lang w:val="en-US" w:eastAsia="zh-CN"/>
        </w:rPr>
        <w:t>定金不予退还</w:t>
      </w:r>
      <w:r>
        <w:rPr>
          <w:rFonts w:hint="eastAsia" w:ascii="仿宋_GB2312" w:hAnsi="仿宋_GB2312" w:eastAsia="仿宋_GB2312" w:cs="仿宋_GB2312"/>
          <w:color w:val="auto"/>
          <w:sz w:val="32"/>
          <w:szCs w:val="32"/>
        </w:rPr>
        <w:t>,并由有关部门依法处理;造成损失的，竞得人还应依法承担赔偿责任：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1、不符合竞买资格条件的；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2、采取行贿、恶意串通等非法手段竞得的；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3、竞得人以其他非法手段竞得的；</w:t>
      </w:r>
    </w:p>
    <w:p>
      <w:pPr>
        <w:keepNext w:val="0"/>
        <w:keepLines w:val="0"/>
        <w:pageBreakBefore w:val="0"/>
        <w:widowControl w:val="0"/>
        <w:tabs>
          <w:tab w:val="right" w:pos="8386"/>
        </w:tabs>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4、竞得人逾期或拒绝签订《成交确认书》的；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5、竞得人逾期或拒绝签订《出让合同》的；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7、构成违约责任的其他行为。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）挂牌出让价款不含应由竞得人缴纳的契税、印花税等有关费用。</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十</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（一）惠州市</w:t>
      </w:r>
      <w:r>
        <w:rPr>
          <w:rFonts w:hint="eastAsia" w:ascii="仿宋_GB2312" w:hAnsi="仿宋_GB2312" w:eastAsia="仿宋_GB2312" w:cs="仿宋_GB2312"/>
          <w:color w:val="auto"/>
          <w:sz w:val="32"/>
          <w:szCs w:val="32"/>
          <w:lang w:val="en-US" w:eastAsia="zh-CN"/>
        </w:rPr>
        <w:t>惠城区</w:t>
      </w:r>
      <w:r>
        <w:rPr>
          <w:rFonts w:hint="eastAsia" w:ascii="仿宋_GB2312" w:hAnsi="仿宋_GB2312" w:eastAsia="仿宋_GB2312" w:cs="仿宋_GB2312"/>
          <w:color w:val="auto"/>
          <w:sz w:val="32"/>
          <w:szCs w:val="32"/>
        </w:rPr>
        <w:t>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地址：惠州市</w:t>
      </w:r>
      <w:r>
        <w:rPr>
          <w:rFonts w:hint="eastAsia" w:ascii="仿宋_GB2312" w:hAnsi="仿宋_GB2312" w:eastAsia="仿宋_GB2312" w:cs="仿宋_GB2312"/>
          <w:color w:val="auto"/>
          <w:sz w:val="32"/>
          <w:szCs w:val="32"/>
          <w:lang w:val="en-US" w:eastAsia="zh-CN"/>
        </w:rPr>
        <w:t>下埔路16号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val="en-US" w:eastAsia="zh-CN"/>
        </w:rPr>
        <w:t>陈先生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2117378</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联系地址：广东省惠州市</w:t>
      </w:r>
      <w:r>
        <w:rPr>
          <w:rFonts w:hint="eastAsia" w:ascii="仿宋_GB2312" w:hAnsi="仿宋_GB2312" w:eastAsia="仿宋_GB2312" w:cs="仿宋_GB2312"/>
          <w:sz w:val="32"/>
          <w:szCs w:val="32"/>
          <w:lang w:val="en-US" w:eastAsia="zh-CN"/>
        </w:rPr>
        <w:t>惠城区三新北路31号市民服务中心3号楼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联系人：袁小姐、</w:t>
      </w:r>
      <w:r>
        <w:rPr>
          <w:rFonts w:hint="eastAsia" w:ascii="仿宋_GB2312" w:hAnsi="仿宋_GB2312" w:eastAsia="仿宋_GB2312" w:cs="仿宋_GB2312"/>
          <w:sz w:val="32"/>
          <w:szCs w:val="32"/>
          <w:lang w:val="en-US" w:eastAsia="zh-CN"/>
        </w:rPr>
        <w:t>叶小姐</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7121026、7121042</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注：本公告同时在下列网站及场所发布</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"http://zyjy.huizhou.gov.cn"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keepNext w:val="0"/>
        <w:keepLines w:val="0"/>
        <w:pageBreakBefore w:val="0"/>
        <w:widowControl w:val="0"/>
        <w:kinsoku/>
        <w:wordWrap/>
        <w:overflowPunct/>
        <w:topLinePunct w:val="0"/>
        <w:autoSpaceDE/>
        <w:autoSpaceDN/>
        <w:bidi w:val="0"/>
        <w:spacing w:line="560" w:lineRule="exact"/>
        <w:ind w:left="487" w:leftChars="232"/>
        <w:textAlignment w:val="auto"/>
        <w:rPr>
          <w:rFonts w:ascii="宋体" w:hAnsi="宋体" w:cs="宋体"/>
          <w:color w:val="696969"/>
          <w:sz w:val="32"/>
          <w:szCs w:val="32"/>
        </w:rPr>
      </w:pPr>
      <w:r>
        <w:rPr>
          <w:rFonts w:hint="eastAsia" w:ascii="仿宋_GB2312" w:hAnsi="仿宋_GB2312" w:eastAsia="仿宋_GB2312" w:cs="仿宋_GB2312"/>
          <w:sz w:val="32"/>
          <w:szCs w:val="32"/>
        </w:rPr>
        <w:t>数字证书办理地址：广东省惠州市</w:t>
      </w:r>
      <w:r>
        <w:rPr>
          <w:rFonts w:hint="eastAsia" w:ascii="仿宋_GB2312" w:hAnsi="仿宋_GB2312" w:eastAsia="仿宋_GB2312" w:cs="仿宋_GB2312"/>
          <w:sz w:val="32"/>
          <w:szCs w:val="32"/>
          <w:lang w:val="en-US" w:eastAsia="zh-CN"/>
        </w:rPr>
        <w:t>惠城区三新北路31号市民服务中心3号楼一楼大厅1号土地与矿业交易窗口</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7121029</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spacing w:line="560" w:lineRule="exact"/>
        <w:ind w:right="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right="640" w:firstLine="5033" w:firstLineChars="1573"/>
        <w:textAlignment w:val="auto"/>
        <w:rPr>
          <w:rFonts w:hint="eastAsia" w:ascii="仿宋_GB2312" w:hAnsi="仿宋_GB2312" w:eastAsia="仿宋_GB2312" w:cs="仿宋_GB2312"/>
          <w:sz w:val="32"/>
          <w:szCs w:val="32"/>
        </w:rPr>
      </w:pPr>
    </w:p>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eastAsia="zh-CN"/>
        </w:rPr>
        <w:t>惠城区</w:t>
      </w:r>
      <w:r>
        <w:rPr>
          <w:rFonts w:hint="eastAsia" w:ascii="仿宋_GB2312" w:hAnsi="仿宋_GB2312" w:eastAsia="仿宋_GB2312" w:cs="仿宋_GB2312"/>
          <w:sz w:val="32"/>
          <w:szCs w:val="32"/>
        </w:rPr>
        <w:t>自然资源局</w:t>
      </w:r>
    </w:p>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惠州市公共资源交易中心</w:t>
      </w:r>
    </w:p>
    <w:p>
      <w:pPr>
        <w:spacing w:line="360" w:lineRule="auto"/>
        <w:ind w:firstLine="5120" w:firstLineChars="1600"/>
        <w:jc w:val="both"/>
        <w:rPr>
          <w:rFonts w:hint="default" w:ascii="仿宋_GB2312" w:hAnsi="仿宋_GB2312" w:eastAsia="仿宋_GB2312" w:cs="仿宋_GB2312"/>
          <w:sz w:val="32"/>
          <w:szCs w:val="32"/>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val="en-US" w:eastAsia="zh-CN"/>
        </w:rPr>
        <w:t>2021年10月22</w:t>
      </w:r>
      <w:bookmarkStart w:id="0" w:name="_GoBack"/>
      <w:bookmarkEnd w:id="0"/>
      <w:r>
        <w:rPr>
          <w:rFonts w:hint="eastAsia" w:ascii="仿宋_GB2312" w:hAnsi="仿宋_GB2312" w:eastAsia="仿宋_GB2312" w:cs="仿宋_GB2312"/>
          <w:sz w:val="32"/>
          <w:szCs w:val="32"/>
          <w:lang w:val="en-US" w:eastAsia="zh-CN"/>
        </w:rPr>
        <w:t>日</w:t>
      </w:r>
    </w:p>
    <w:p>
      <w:pPr>
        <w:spacing w:line="360" w:lineRule="auto"/>
        <w:rPr>
          <w:rFonts w:hint="eastAsia" w:ascii="黑体" w:hAnsi="黑体" w:eastAsia="黑体"/>
          <w:sz w:val="32"/>
          <w:szCs w:val="32"/>
        </w:rPr>
      </w:pPr>
      <w:r>
        <w:rPr>
          <w:rFonts w:hint="eastAsia" w:ascii="黑体" w:hAnsi="黑体" w:eastAsia="黑体"/>
          <w:sz w:val="32"/>
          <w:szCs w:val="32"/>
        </w:rPr>
        <w:t>附表</w:t>
      </w:r>
    </w:p>
    <w:p>
      <w:pPr>
        <w:tabs>
          <w:tab w:val="left" w:pos="9720"/>
        </w:tabs>
        <w:spacing w:line="360" w:lineRule="auto"/>
        <w:jc w:val="center"/>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p>
      <w:pPr>
        <w:pStyle w:val="2"/>
        <w:rPr>
          <w:rFonts w:hint="eastAsia"/>
        </w:rPr>
      </w:pPr>
    </w:p>
    <w:tbl>
      <w:tblPr>
        <w:tblStyle w:val="8"/>
        <w:tblW w:w="109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065"/>
        <w:gridCol w:w="870"/>
        <w:gridCol w:w="1175"/>
        <w:gridCol w:w="1075"/>
        <w:gridCol w:w="1325"/>
        <w:gridCol w:w="1063"/>
        <w:gridCol w:w="1525"/>
        <w:gridCol w:w="1507"/>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705"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挂牌地块编号</w:t>
            </w:r>
          </w:p>
        </w:tc>
        <w:tc>
          <w:tcPr>
            <w:tcW w:w="1065"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土地</w:t>
            </w:r>
          </w:p>
          <w:p>
            <w:pPr>
              <w:spacing w:line="320" w:lineRule="exact"/>
              <w:jc w:val="center"/>
              <w:rPr>
                <w:rFonts w:hint="eastAsia" w:ascii="仿宋_GB2312" w:eastAsia="仿宋_GB2312"/>
                <w:b/>
                <w:bCs/>
                <w:szCs w:val="21"/>
              </w:rPr>
            </w:pPr>
            <w:r>
              <w:rPr>
                <w:rFonts w:hint="eastAsia" w:ascii="仿宋_GB2312" w:eastAsia="仿宋_GB2312"/>
                <w:b/>
                <w:bCs/>
                <w:szCs w:val="21"/>
              </w:rPr>
              <w:t>位置</w:t>
            </w:r>
          </w:p>
        </w:tc>
        <w:tc>
          <w:tcPr>
            <w:tcW w:w="870"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lang w:val="en-US" w:eastAsia="zh-CN"/>
              </w:rPr>
              <w:t>地块</w:t>
            </w:r>
            <w:r>
              <w:rPr>
                <w:rFonts w:hint="eastAsia" w:ascii="仿宋_GB2312" w:eastAsia="仿宋_GB2312"/>
                <w:b/>
                <w:bCs/>
                <w:szCs w:val="21"/>
              </w:rPr>
              <w:t>编号</w:t>
            </w:r>
          </w:p>
        </w:tc>
        <w:tc>
          <w:tcPr>
            <w:tcW w:w="1175"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土地</w:t>
            </w:r>
          </w:p>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用途</w:t>
            </w:r>
          </w:p>
        </w:tc>
        <w:tc>
          <w:tcPr>
            <w:tcW w:w="1075"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宗地使用权面积（</w:t>
            </w:r>
            <w:r>
              <w:rPr>
                <w:rFonts w:hint="eastAsia" w:ascii="宋体" w:hAnsi="宋体" w:cs="宋体"/>
                <w:b/>
                <w:bCs/>
                <w:szCs w:val="21"/>
              </w:rPr>
              <w:t>㎡</w:t>
            </w:r>
            <w:r>
              <w:rPr>
                <w:rFonts w:hint="eastAsia" w:ascii="仿宋_GB2312" w:eastAsia="仿宋_GB2312"/>
                <w:b/>
                <w:bCs/>
                <w:szCs w:val="21"/>
              </w:rPr>
              <w:t>）</w:t>
            </w:r>
          </w:p>
        </w:tc>
        <w:tc>
          <w:tcPr>
            <w:tcW w:w="5420" w:type="dxa"/>
            <w:gridSpan w:val="4"/>
            <w:vAlign w:val="center"/>
          </w:tcPr>
          <w:p>
            <w:pPr>
              <w:adjustRightInd w:val="0"/>
              <w:snapToGrid w:val="0"/>
              <w:spacing w:line="320" w:lineRule="exact"/>
              <w:ind w:left="1" w:leftChars="-89" w:hanging="188" w:hangingChars="89"/>
              <w:jc w:val="center"/>
              <w:rPr>
                <w:rFonts w:hint="eastAsia" w:ascii="仿宋_GB2312" w:eastAsia="仿宋_GB2312"/>
                <w:b/>
                <w:bCs/>
                <w:szCs w:val="21"/>
              </w:rPr>
            </w:pPr>
            <w:r>
              <w:rPr>
                <w:rFonts w:hint="eastAsia" w:ascii="仿宋_GB2312" w:eastAsia="仿宋_GB2312"/>
                <w:b/>
                <w:bCs/>
                <w:szCs w:val="21"/>
              </w:rPr>
              <w:t>规划指标要求</w:t>
            </w:r>
          </w:p>
        </w:tc>
        <w:tc>
          <w:tcPr>
            <w:tcW w:w="670" w:type="dxa"/>
            <w:vMerge w:val="restart"/>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jc w:val="center"/>
        </w:trPr>
        <w:tc>
          <w:tcPr>
            <w:tcW w:w="705" w:type="dxa"/>
            <w:vMerge w:val="continue"/>
            <w:vAlign w:val="center"/>
          </w:tcPr>
          <w:p>
            <w:pPr>
              <w:adjustRightInd w:val="0"/>
              <w:snapToGrid w:val="0"/>
              <w:spacing w:line="320" w:lineRule="exact"/>
              <w:jc w:val="center"/>
              <w:rPr>
                <w:rFonts w:hint="eastAsia" w:ascii="仿宋_GB2312" w:eastAsia="仿宋_GB2312"/>
                <w:b/>
                <w:bCs/>
              </w:rPr>
            </w:pPr>
          </w:p>
        </w:tc>
        <w:tc>
          <w:tcPr>
            <w:tcW w:w="1065" w:type="dxa"/>
            <w:vMerge w:val="continue"/>
            <w:vAlign w:val="center"/>
          </w:tcPr>
          <w:p>
            <w:pPr>
              <w:adjustRightInd w:val="0"/>
              <w:snapToGrid w:val="0"/>
              <w:spacing w:line="320" w:lineRule="exact"/>
              <w:jc w:val="center"/>
              <w:rPr>
                <w:rFonts w:hint="eastAsia" w:ascii="仿宋_GB2312" w:eastAsia="仿宋_GB2312"/>
                <w:b/>
                <w:bCs/>
              </w:rPr>
            </w:pPr>
          </w:p>
        </w:tc>
        <w:tc>
          <w:tcPr>
            <w:tcW w:w="870" w:type="dxa"/>
            <w:vMerge w:val="continue"/>
            <w:vAlign w:val="center"/>
          </w:tcPr>
          <w:p>
            <w:pPr>
              <w:adjustRightInd w:val="0"/>
              <w:snapToGrid w:val="0"/>
              <w:spacing w:line="320" w:lineRule="exact"/>
              <w:jc w:val="center"/>
              <w:rPr>
                <w:rFonts w:hint="eastAsia" w:ascii="仿宋_GB2312" w:eastAsia="仿宋_GB2312"/>
                <w:b/>
                <w:bCs/>
              </w:rPr>
            </w:pPr>
          </w:p>
        </w:tc>
        <w:tc>
          <w:tcPr>
            <w:tcW w:w="1175" w:type="dxa"/>
            <w:vMerge w:val="continue"/>
            <w:vAlign w:val="center"/>
          </w:tcPr>
          <w:p>
            <w:pPr>
              <w:adjustRightInd w:val="0"/>
              <w:snapToGrid w:val="0"/>
              <w:spacing w:line="320" w:lineRule="exact"/>
              <w:jc w:val="center"/>
              <w:rPr>
                <w:rFonts w:hint="eastAsia" w:ascii="仿宋_GB2312" w:eastAsia="仿宋_GB2312"/>
                <w:b/>
                <w:bCs/>
              </w:rPr>
            </w:pPr>
          </w:p>
        </w:tc>
        <w:tc>
          <w:tcPr>
            <w:tcW w:w="1075" w:type="dxa"/>
            <w:vMerge w:val="continue"/>
            <w:vAlign w:val="center"/>
          </w:tcPr>
          <w:p>
            <w:pPr>
              <w:adjustRightInd w:val="0"/>
              <w:snapToGrid w:val="0"/>
              <w:spacing w:line="320" w:lineRule="exact"/>
              <w:jc w:val="center"/>
              <w:rPr>
                <w:rFonts w:hint="eastAsia" w:ascii="仿宋_GB2312" w:eastAsia="仿宋_GB2312"/>
                <w:b/>
                <w:bCs/>
              </w:rPr>
            </w:pPr>
          </w:p>
        </w:tc>
        <w:tc>
          <w:tcPr>
            <w:tcW w:w="1325" w:type="dxa"/>
            <w:vAlign w:val="center"/>
          </w:tcPr>
          <w:p>
            <w:pPr>
              <w:autoSpaceDE w:val="0"/>
              <w:autoSpaceDN w:val="0"/>
              <w:adjustRightInd w:val="0"/>
              <w:spacing w:line="240" w:lineRule="exact"/>
              <w:jc w:val="center"/>
              <w:rPr>
                <w:rFonts w:hint="eastAsia" w:ascii="仿宋_GB2312" w:eastAsia="仿宋_GB2312"/>
                <w:b/>
                <w:bCs/>
                <w:szCs w:val="21"/>
              </w:rPr>
            </w:pPr>
            <w:r>
              <w:rPr>
                <w:rFonts w:hint="eastAsia" w:ascii="仿宋_GB2312" w:eastAsia="仿宋_GB2312"/>
                <w:b/>
                <w:bCs/>
                <w:szCs w:val="21"/>
              </w:rPr>
              <w:t>计算指标用地面积（</w:t>
            </w:r>
            <w:r>
              <w:rPr>
                <w:rFonts w:hint="eastAsia" w:ascii="宋体" w:hAnsi="宋体" w:cs="宋体"/>
                <w:b/>
                <w:bCs/>
                <w:szCs w:val="21"/>
              </w:rPr>
              <w:t>㎡</w:t>
            </w:r>
            <w:r>
              <w:rPr>
                <w:rFonts w:hint="eastAsia" w:ascii="仿宋_GB2312" w:eastAsia="仿宋_GB2312"/>
                <w:b/>
                <w:bCs/>
                <w:szCs w:val="21"/>
              </w:rPr>
              <w:t>）</w:t>
            </w:r>
          </w:p>
        </w:tc>
        <w:tc>
          <w:tcPr>
            <w:tcW w:w="1063" w:type="dxa"/>
            <w:vAlign w:val="center"/>
          </w:tcPr>
          <w:p>
            <w:pPr>
              <w:autoSpaceDE w:val="0"/>
              <w:autoSpaceDN w:val="0"/>
              <w:adjustRightInd w:val="0"/>
              <w:spacing w:line="240" w:lineRule="exact"/>
              <w:jc w:val="center"/>
              <w:rPr>
                <w:rFonts w:hint="eastAsia" w:ascii="仿宋_GB2312" w:eastAsia="仿宋_GB2312"/>
                <w:b/>
                <w:bCs/>
                <w:szCs w:val="21"/>
              </w:rPr>
            </w:pPr>
            <w:r>
              <w:rPr>
                <w:rFonts w:hint="eastAsia" w:ascii="仿宋_GB2312" w:eastAsia="仿宋_GB2312"/>
                <w:b/>
                <w:bCs/>
                <w:szCs w:val="21"/>
              </w:rPr>
              <w:t>容积率</w:t>
            </w:r>
          </w:p>
        </w:tc>
        <w:tc>
          <w:tcPr>
            <w:tcW w:w="1525" w:type="dxa"/>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szCs w:val="21"/>
              </w:rPr>
              <w:t>计容积率建筑面积（</w:t>
            </w:r>
            <w:r>
              <w:rPr>
                <w:rFonts w:hint="eastAsia" w:ascii="宋体" w:hAnsi="宋体" w:cs="宋体"/>
                <w:b/>
                <w:bCs/>
                <w:szCs w:val="21"/>
              </w:rPr>
              <w:t>㎡</w:t>
            </w:r>
            <w:r>
              <w:rPr>
                <w:rFonts w:hint="eastAsia" w:ascii="仿宋_GB2312" w:eastAsia="仿宋_GB2312"/>
                <w:b/>
                <w:bCs/>
                <w:szCs w:val="21"/>
              </w:rPr>
              <w:t>）</w:t>
            </w:r>
          </w:p>
        </w:tc>
        <w:tc>
          <w:tcPr>
            <w:tcW w:w="1507" w:type="dxa"/>
            <w:vAlign w:val="center"/>
          </w:tcPr>
          <w:p>
            <w:pPr>
              <w:autoSpaceDE w:val="0"/>
              <w:autoSpaceDN w:val="0"/>
              <w:adjustRightInd w:val="0"/>
              <w:spacing w:line="240" w:lineRule="exact"/>
              <w:jc w:val="center"/>
              <w:rPr>
                <w:rFonts w:hint="eastAsia" w:ascii="仿宋_GB2312" w:eastAsia="仿宋_GB2312"/>
                <w:b/>
                <w:bCs/>
                <w:szCs w:val="21"/>
                <w:lang w:eastAsia="zh-CN"/>
              </w:rPr>
            </w:pPr>
            <w:r>
              <w:rPr>
                <w:rFonts w:hint="eastAsia" w:ascii="仿宋_GB2312" w:eastAsia="仿宋_GB2312"/>
                <w:b/>
                <w:bCs/>
                <w:szCs w:val="21"/>
                <w:lang w:eastAsia="zh-CN"/>
              </w:rPr>
              <w:t>产业</w:t>
            </w:r>
          </w:p>
          <w:p>
            <w:pPr>
              <w:autoSpaceDE w:val="0"/>
              <w:autoSpaceDN w:val="0"/>
              <w:adjustRightInd w:val="0"/>
              <w:spacing w:line="240" w:lineRule="exact"/>
              <w:jc w:val="center"/>
              <w:rPr>
                <w:rFonts w:hint="eastAsia" w:ascii="仿宋_GB2312" w:eastAsia="仿宋_GB2312"/>
                <w:b/>
                <w:bCs/>
                <w:lang w:eastAsia="zh-CN"/>
              </w:rPr>
            </w:pPr>
            <w:r>
              <w:rPr>
                <w:rFonts w:hint="eastAsia" w:ascii="仿宋_GB2312" w:eastAsia="仿宋_GB2312"/>
                <w:b/>
                <w:bCs/>
                <w:szCs w:val="21"/>
                <w:lang w:eastAsia="zh-CN"/>
              </w:rPr>
              <w:t>类型</w:t>
            </w:r>
          </w:p>
        </w:tc>
        <w:tc>
          <w:tcPr>
            <w:tcW w:w="670" w:type="dxa"/>
            <w:vMerge w:val="continue"/>
            <w:vAlign w:val="center"/>
          </w:tcPr>
          <w:p>
            <w:pPr>
              <w:autoSpaceDE w:val="0"/>
              <w:autoSpaceDN w:val="0"/>
              <w:adjustRightInd w:val="0"/>
              <w:spacing w:line="240" w:lineRule="exact"/>
              <w:jc w:val="center"/>
              <w:rPr>
                <w:rFonts w:hint="eastAsia"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6" w:hRule="atLeast"/>
          <w:jc w:val="center"/>
        </w:trPr>
        <w:tc>
          <w:tcPr>
            <w:tcW w:w="705" w:type="dxa"/>
            <w:tcMar>
              <w:left w:w="0" w:type="dxa"/>
              <w:right w:w="0" w:type="dxa"/>
            </w:tcMar>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GP2021-xx</w:t>
            </w:r>
          </w:p>
        </w:tc>
        <w:tc>
          <w:tcPr>
            <w:tcW w:w="1065"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惠州市惠城区水口新民洛塘片区JD114-14地块</w:t>
            </w:r>
          </w:p>
        </w:tc>
        <w:tc>
          <w:tcPr>
            <w:tcW w:w="870"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JD114-14</w:t>
            </w:r>
          </w:p>
        </w:tc>
        <w:tc>
          <w:tcPr>
            <w:tcW w:w="1175" w:type="dxa"/>
            <w:tcMar>
              <w:left w:w="0" w:type="dxa"/>
              <w:right w:w="0" w:type="dxa"/>
            </w:tcMar>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一类工业用地（兼容一类物流仓储用地）</w:t>
            </w:r>
          </w:p>
        </w:tc>
        <w:tc>
          <w:tcPr>
            <w:tcW w:w="1075"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1608</w:t>
            </w:r>
          </w:p>
        </w:tc>
        <w:tc>
          <w:tcPr>
            <w:tcW w:w="1325"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1608</w:t>
            </w:r>
          </w:p>
        </w:tc>
        <w:tc>
          <w:tcPr>
            <w:tcW w:w="1063"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1.4-2.5</w:t>
            </w:r>
          </w:p>
        </w:tc>
        <w:tc>
          <w:tcPr>
            <w:tcW w:w="1525"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2252-4020</w:t>
            </w:r>
          </w:p>
        </w:tc>
        <w:tc>
          <w:tcPr>
            <w:tcW w:w="1507"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食品加工用地</w:t>
            </w:r>
          </w:p>
        </w:tc>
        <w:tc>
          <w:tcPr>
            <w:tcW w:w="670"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50年</w:t>
            </w:r>
          </w:p>
          <w:p>
            <w:pPr>
              <w:jc w:val="center"/>
              <w:rPr>
                <w:rFonts w:hint="eastAsia" w:ascii="仿宋_GB2312" w:hAnsi="Times New Roman" w:eastAsia="仿宋_GB2312" w:cs="Times New Roman"/>
                <w:szCs w:val="21"/>
                <w:lang w:val="en-US" w:eastAsia="zh-CN"/>
              </w:rPr>
            </w:pPr>
          </w:p>
        </w:tc>
      </w:tr>
    </w:tbl>
    <w:p>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- 4 -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539EC"/>
    <w:rsid w:val="017F36AB"/>
    <w:rsid w:val="02624B0F"/>
    <w:rsid w:val="03043D1C"/>
    <w:rsid w:val="045C3FD8"/>
    <w:rsid w:val="07386886"/>
    <w:rsid w:val="07895069"/>
    <w:rsid w:val="082B1937"/>
    <w:rsid w:val="09F32886"/>
    <w:rsid w:val="0C762EAF"/>
    <w:rsid w:val="0D167AC3"/>
    <w:rsid w:val="0D430223"/>
    <w:rsid w:val="0DF23899"/>
    <w:rsid w:val="0E7A65F6"/>
    <w:rsid w:val="101D3BC2"/>
    <w:rsid w:val="10BD4DFA"/>
    <w:rsid w:val="11116E3F"/>
    <w:rsid w:val="11BA5FAE"/>
    <w:rsid w:val="129A05F9"/>
    <w:rsid w:val="137618AF"/>
    <w:rsid w:val="13D50F1B"/>
    <w:rsid w:val="161D2710"/>
    <w:rsid w:val="167673A1"/>
    <w:rsid w:val="16AA6FD1"/>
    <w:rsid w:val="16D56AAC"/>
    <w:rsid w:val="17AA0480"/>
    <w:rsid w:val="17E26192"/>
    <w:rsid w:val="188D227F"/>
    <w:rsid w:val="192F711A"/>
    <w:rsid w:val="1A0B2C56"/>
    <w:rsid w:val="1AA5305E"/>
    <w:rsid w:val="1ADB0E54"/>
    <w:rsid w:val="1B58380F"/>
    <w:rsid w:val="1C5904D7"/>
    <w:rsid w:val="1DE30B94"/>
    <w:rsid w:val="1E862B6D"/>
    <w:rsid w:val="1F7C2358"/>
    <w:rsid w:val="1FB07F91"/>
    <w:rsid w:val="1FFD6DA9"/>
    <w:rsid w:val="20C82B61"/>
    <w:rsid w:val="20ED2229"/>
    <w:rsid w:val="22890C8D"/>
    <w:rsid w:val="23A027B1"/>
    <w:rsid w:val="26673BA9"/>
    <w:rsid w:val="27A65DB8"/>
    <w:rsid w:val="28774868"/>
    <w:rsid w:val="2A6B42FA"/>
    <w:rsid w:val="2A870225"/>
    <w:rsid w:val="2B5D4967"/>
    <w:rsid w:val="2B6B3734"/>
    <w:rsid w:val="2D881864"/>
    <w:rsid w:val="304C7078"/>
    <w:rsid w:val="31CE6D72"/>
    <w:rsid w:val="326F18FF"/>
    <w:rsid w:val="33861F14"/>
    <w:rsid w:val="34412DD7"/>
    <w:rsid w:val="35335FA2"/>
    <w:rsid w:val="36061489"/>
    <w:rsid w:val="366601E1"/>
    <w:rsid w:val="3739155D"/>
    <w:rsid w:val="37607760"/>
    <w:rsid w:val="380440B7"/>
    <w:rsid w:val="380B4957"/>
    <w:rsid w:val="381E07C6"/>
    <w:rsid w:val="38BD14D1"/>
    <w:rsid w:val="390316CE"/>
    <w:rsid w:val="3B222C10"/>
    <w:rsid w:val="3C13026D"/>
    <w:rsid w:val="3DDC60B5"/>
    <w:rsid w:val="3E0D02CF"/>
    <w:rsid w:val="40231E47"/>
    <w:rsid w:val="40363F40"/>
    <w:rsid w:val="409256E4"/>
    <w:rsid w:val="40B33D72"/>
    <w:rsid w:val="411B39E1"/>
    <w:rsid w:val="41894F39"/>
    <w:rsid w:val="42CE6157"/>
    <w:rsid w:val="43706132"/>
    <w:rsid w:val="447820DC"/>
    <w:rsid w:val="44966F93"/>
    <w:rsid w:val="45A268C8"/>
    <w:rsid w:val="45C047BF"/>
    <w:rsid w:val="47A409C1"/>
    <w:rsid w:val="4A1228DB"/>
    <w:rsid w:val="4A1B1ECC"/>
    <w:rsid w:val="4AE74DD0"/>
    <w:rsid w:val="4C2E14D5"/>
    <w:rsid w:val="4CC552AB"/>
    <w:rsid w:val="4EC91786"/>
    <w:rsid w:val="4F861E18"/>
    <w:rsid w:val="538C505C"/>
    <w:rsid w:val="540106D5"/>
    <w:rsid w:val="546946EF"/>
    <w:rsid w:val="565101CA"/>
    <w:rsid w:val="567F481B"/>
    <w:rsid w:val="578E459E"/>
    <w:rsid w:val="57A3234F"/>
    <w:rsid w:val="57C844D5"/>
    <w:rsid w:val="59400AE8"/>
    <w:rsid w:val="596A13D8"/>
    <w:rsid w:val="5A893EB0"/>
    <w:rsid w:val="5AC677F9"/>
    <w:rsid w:val="5AF873B7"/>
    <w:rsid w:val="5BD95AEB"/>
    <w:rsid w:val="5CD963F5"/>
    <w:rsid w:val="5D241B5A"/>
    <w:rsid w:val="5D471E01"/>
    <w:rsid w:val="5E3B0440"/>
    <w:rsid w:val="606821F3"/>
    <w:rsid w:val="64D925C4"/>
    <w:rsid w:val="68527CA2"/>
    <w:rsid w:val="692A6240"/>
    <w:rsid w:val="6AC63605"/>
    <w:rsid w:val="6B6F59CC"/>
    <w:rsid w:val="6C346083"/>
    <w:rsid w:val="6E5E4362"/>
    <w:rsid w:val="6EB83079"/>
    <w:rsid w:val="6F4B3B48"/>
    <w:rsid w:val="6FF0551C"/>
    <w:rsid w:val="700A52E4"/>
    <w:rsid w:val="71535A04"/>
    <w:rsid w:val="72127BD3"/>
    <w:rsid w:val="727D44B4"/>
    <w:rsid w:val="736D1677"/>
    <w:rsid w:val="73BE7EBD"/>
    <w:rsid w:val="7451643C"/>
    <w:rsid w:val="748840AA"/>
    <w:rsid w:val="761352C3"/>
    <w:rsid w:val="77DD303C"/>
    <w:rsid w:val="782A0826"/>
    <w:rsid w:val="79E82C45"/>
    <w:rsid w:val="7B832F79"/>
    <w:rsid w:val="7D060077"/>
    <w:rsid w:val="7F252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216</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2019-12-12T06:35:00Z</dcterms:created>
  <dc:creator>Administrator</dc:creator>
  <cp:lastModifiedBy>叶舒</cp:lastModifiedBy>
  <cp:lastPrinted>2021-10-18T06:25:00Z</cp:lastPrinted>
  <dcterms:modified xsi:type="dcterms:W3CDTF">2021-10-22T08:52:46Z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